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68C7" w:rsidRDefault="00B068C7" w:rsidP="00377B6F">
      <w:pPr>
        <w:pStyle w:val="Default"/>
        <w:jc w:val="both"/>
        <w:rPr>
          <w:b/>
          <w:bCs/>
          <w:sz w:val="28"/>
          <w:szCs w:val="28"/>
        </w:rPr>
      </w:pPr>
    </w:p>
    <w:p w:rsidR="00B068C7" w:rsidRPr="00FE7D7D" w:rsidRDefault="00FE7D7D" w:rsidP="00FE7D7D">
      <w:pPr>
        <w:pStyle w:val="Default"/>
        <w:jc w:val="both"/>
        <w:rPr>
          <w:b/>
          <w:bCs/>
          <w:sz w:val="28"/>
          <w:szCs w:val="28"/>
        </w:rPr>
      </w:pPr>
      <w:r>
        <w:rPr>
          <w:b/>
          <w:bCs/>
          <w:noProof/>
          <w:sz w:val="28"/>
          <w:szCs w:val="28"/>
          <w:lang w:eastAsia="ru-RU" w:bidi="ar-SA"/>
        </w:rPr>
        <w:drawing>
          <wp:inline distT="0" distB="0" distL="0" distR="0">
            <wp:extent cx="6369050" cy="8929370"/>
            <wp:effectExtent l="19050" t="0" r="0" b="0"/>
            <wp:docPr id="8" name="Рисунок 8" descr="C:\Users\User\Desktop\Для  положений\титульный лист о порядке проведения аттестации педагогических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Для  положений\титульный лист о порядке проведения аттестации педагогических работников.jpeg"/>
                    <pic:cNvPicPr>
                      <a:picLocks noChangeAspect="1" noChangeArrowheads="1"/>
                    </pic:cNvPicPr>
                  </pic:nvPicPr>
                  <pic:blipFill>
                    <a:blip r:embed="rId5" cstate="print"/>
                    <a:srcRect/>
                    <a:stretch>
                      <a:fillRect/>
                    </a:stretch>
                  </pic:blipFill>
                  <pic:spPr bwMode="auto">
                    <a:xfrm>
                      <a:off x="0" y="0"/>
                      <a:ext cx="6369050" cy="8929370"/>
                    </a:xfrm>
                    <a:prstGeom prst="rect">
                      <a:avLst/>
                    </a:prstGeom>
                    <a:noFill/>
                    <a:ln w="9525">
                      <a:noFill/>
                      <a:miter lim="800000"/>
                      <a:headEnd/>
                      <a:tailEnd/>
                    </a:ln>
                  </pic:spPr>
                </pic:pic>
              </a:graphicData>
            </a:graphic>
          </wp:inline>
        </w:drawing>
      </w:r>
    </w:p>
    <w:p w:rsidR="00B068C7" w:rsidRPr="00B068C7" w:rsidRDefault="00B068C7" w:rsidP="00B068C7">
      <w:pPr>
        <w:widowControl/>
        <w:suppressAutoHyphens w:val="0"/>
        <w:autoSpaceDE w:val="0"/>
        <w:autoSpaceDN w:val="0"/>
        <w:adjustRightInd w:val="0"/>
        <w:rPr>
          <w:rFonts w:eastAsia="Times New Roman" w:cs="Times New Roman"/>
          <w:color w:val="000000"/>
          <w:kern w:val="0"/>
          <w:sz w:val="28"/>
          <w:szCs w:val="28"/>
          <w:lang w:eastAsia="ru-RU" w:bidi="ar-SA"/>
        </w:rPr>
      </w:pPr>
      <w:r w:rsidRPr="00B068C7">
        <w:rPr>
          <w:rFonts w:eastAsia="Times New Roman" w:cs="Times New Roman"/>
          <w:color w:val="000000"/>
          <w:kern w:val="0"/>
          <w:lang w:eastAsia="ru-RU" w:bidi="ar-SA"/>
        </w:rPr>
        <w:lastRenderedPageBreak/>
        <w:t xml:space="preserve"> </w:t>
      </w:r>
      <w:r w:rsidRPr="00B068C7">
        <w:rPr>
          <w:rFonts w:eastAsia="Times New Roman" w:cs="Times New Roman"/>
          <w:b/>
          <w:bCs/>
          <w:color w:val="000000"/>
          <w:kern w:val="0"/>
          <w:sz w:val="28"/>
          <w:szCs w:val="28"/>
          <w:lang w:eastAsia="ru-RU" w:bidi="ar-SA"/>
        </w:rPr>
        <w:t xml:space="preserve">I. Общие положения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1.1. Положение о порядке организации и проведения аттестации педагогических работников на соответствие занимаемой должности (далее – Порядок), регламентирует порядок проведения аттестации педагогических работников </w:t>
      </w:r>
      <w:r>
        <w:rPr>
          <w:rFonts w:eastAsia="Times New Roman" w:cs="Times New Roman"/>
          <w:color w:val="000000"/>
          <w:kern w:val="0"/>
          <w:sz w:val="28"/>
          <w:szCs w:val="28"/>
          <w:lang w:eastAsia="ru-RU" w:bidi="ar-SA"/>
        </w:rPr>
        <w:t>г</w:t>
      </w:r>
      <w:r w:rsidRPr="00B068C7">
        <w:rPr>
          <w:rFonts w:eastAsia="Times New Roman" w:cs="Times New Roman"/>
          <w:color w:val="000000"/>
          <w:kern w:val="0"/>
          <w:sz w:val="28"/>
          <w:szCs w:val="28"/>
          <w:lang w:eastAsia="ru-RU" w:bidi="ar-SA"/>
        </w:rPr>
        <w:t xml:space="preserve">осударственного бюджетного профессионального образовательного учреждения «Искитимский центр профессионального обучения» на соответствие занимаемой должности (далее –аттестация ).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1.2. Настоящий Порядок разработан в соответствии с Трудовым кодексом Российской Федерации, Федеральным Законом от 29 декабря 2012 г. № 273-ФЗ «Об образовании в Российской Федерации», приказом Минздравсоцразвития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РФ №276 от 07.04.2014 г.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1.3. Цели аттестации подтверждение соответствия педагогических работников образовательного учреждения занимаемой ими должности на основе оценки их профессиональной деятельности.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1.4. Основными принципами аттестации являются коллегиальность, открытость, гласность.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1.5.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B068C7" w:rsidRPr="00B068C7" w:rsidRDefault="00B068C7" w:rsidP="00B068C7">
      <w:pPr>
        <w:widowControl/>
        <w:suppressAutoHyphens w:val="0"/>
        <w:autoSpaceDE w:val="0"/>
        <w:autoSpaceDN w:val="0"/>
        <w:adjustRightInd w:val="0"/>
        <w:spacing w:after="36"/>
        <w:rPr>
          <w:rFonts w:eastAsia="Times New Roman" w:cs="Times New Roman"/>
          <w:color w:val="000000"/>
          <w:kern w:val="0"/>
          <w:sz w:val="28"/>
          <w:szCs w:val="28"/>
          <w:lang w:eastAsia="ru-RU" w:bidi="ar-SA"/>
        </w:rPr>
      </w:pPr>
      <w:r w:rsidRPr="00B068C7">
        <w:rPr>
          <w:rFonts w:eastAsia="Times New Roman" w:cs="Times New Roman"/>
          <w:color w:val="000000"/>
          <w:kern w:val="0"/>
          <w:sz w:val="28"/>
          <w:szCs w:val="28"/>
          <w:lang w:eastAsia="ru-RU" w:bidi="ar-SA"/>
        </w:rPr>
        <w:t xml:space="preserve">1.7. Для проведения аттестации педагогических работников и создается аттестационная комиссия (далее – Комиссия).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color w:val="000000"/>
          <w:kern w:val="0"/>
          <w:sz w:val="28"/>
          <w:szCs w:val="28"/>
          <w:lang w:eastAsia="ru-RU" w:bidi="ar-SA"/>
        </w:rPr>
        <w:t>1.8. Аттестационная комиссия создается приказом директора образовательного учреждения в составе председателя комиссии, заместителя</w:t>
      </w:r>
      <w:r>
        <w:rPr>
          <w:rFonts w:eastAsia="Times New Roman" w:cs="Times New Roman"/>
          <w:color w:val="000000"/>
          <w:kern w:val="0"/>
          <w:sz w:val="28"/>
          <w:szCs w:val="28"/>
          <w:lang w:eastAsia="ru-RU" w:bidi="ar-SA"/>
        </w:rPr>
        <w:t xml:space="preserve"> </w:t>
      </w:r>
      <w:r w:rsidRPr="00B068C7">
        <w:rPr>
          <w:rFonts w:eastAsia="Times New Roman" w:cs="Times New Roman"/>
          <w:kern w:val="0"/>
          <w:sz w:val="28"/>
          <w:szCs w:val="28"/>
          <w:lang w:eastAsia="ru-RU" w:bidi="ar-SA"/>
        </w:rPr>
        <w:t xml:space="preserve">председателя, секретаря и членов комиссии и формируется из числа работников образовательного учреждения, а также представителей органов государственно-общественного управления. </w:t>
      </w:r>
    </w:p>
    <w:p w:rsidR="00B068C7" w:rsidRPr="00B068C7" w:rsidRDefault="00B068C7" w:rsidP="00B068C7">
      <w:pPr>
        <w:widowControl/>
        <w:suppressAutoHyphens w:val="0"/>
        <w:autoSpaceDE w:val="0"/>
        <w:autoSpaceDN w:val="0"/>
        <w:adjustRightInd w:val="0"/>
        <w:spacing w:after="3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1.9. В состав аттестационной комиссии включается представитель выборного органа соответствующей первичной профсоюзной организации (при наличии такого органа). </w:t>
      </w:r>
    </w:p>
    <w:p w:rsidR="00B068C7" w:rsidRPr="00B068C7" w:rsidRDefault="00B068C7" w:rsidP="00B068C7">
      <w:pPr>
        <w:widowControl/>
        <w:suppressAutoHyphens w:val="0"/>
        <w:autoSpaceDE w:val="0"/>
        <w:autoSpaceDN w:val="0"/>
        <w:adjustRightInd w:val="0"/>
        <w:spacing w:after="3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1.1</w:t>
      </w:r>
      <w:r w:rsidR="0094705D">
        <w:rPr>
          <w:rFonts w:eastAsia="Times New Roman" w:cs="Times New Roman"/>
          <w:kern w:val="0"/>
          <w:sz w:val="28"/>
          <w:szCs w:val="28"/>
          <w:lang w:eastAsia="ru-RU" w:bidi="ar-SA"/>
        </w:rPr>
        <w:t>0</w:t>
      </w:r>
      <w:r w:rsidRPr="00B068C7">
        <w:rPr>
          <w:rFonts w:eastAsia="Times New Roman" w:cs="Times New Roman"/>
          <w:kern w:val="0"/>
          <w:sz w:val="28"/>
          <w:szCs w:val="28"/>
          <w:lang w:eastAsia="ru-RU" w:bidi="ar-SA"/>
        </w:rPr>
        <w:t xml:space="preserve">. Состав Комиссии формируется таким образом, чтобы была исключена возможность конфликта интересов, который мог бы повлиять на принимаемые Комиссией решения. </w:t>
      </w:r>
    </w:p>
    <w:p w:rsidR="00B068C7" w:rsidRPr="00B068C7" w:rsidRDefault="00B068C7" w:rsidP="00B068C7">
      <w:pPr>
        <w:widowControl/>
        <w:suppressAutoHyphens w:val="0"/>
        <w:autoSpaceDE w:val="0"/>
        <w:autoSpaceDN w:val="0"/>
        <w:adjustRightInd w:val="0"/>
        <w:spacing w:after="3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1.1</w:t>
      </w:r>
      <w:r w:rsidR="0094705D">
        <w:rPr>
          <w:rFonts w:eastAsia="Times New Roman" w:cs="Times New Roman"/>
          <w:kern w:val="0"/>
          <w:sz w:val="28"/>
          <w:szCs w:val="28"/>
          <w:lang w:eastAsia="ru-RU" w:bidi="ar-SA"/>
        </w:rPr>
        <w:t>1</w:t>
      </w:r>
      <w:r w:rsidRPr="00B068C7">
        <w:rPr>
          <w:rFonts w:eastAsia="Times New Roman" w:cs="Times New Roman"/>
          <w:kern w:val="0"/>
          <w:sz w:val="28"/>
          <w:szCs w:val="28"/>
          <w:lang w:eastAsia="ru-RU" w:bidi="ar-SA"/>
        </w:rPr>
        <w:t xml:space="preserve">. Заседание Комиссии считается правомочным, если на нем присутствуют не менее двух третей членов Комиссии. </w:t>
      </w:r>
    </w:p>
    <w:p w:rsidR="00B068C7" w:rsidRPr="00B068C7" w:rsidRDefault="00B068C7" w:rsidP="00B068C7">
      <w:pPr>
        <w:widowControl/>
        <w:suppressAutoHyphens w:val="0"/>
        <w:autoSpaceDE w:val="0"/>
        <w:autoSpaceDN w:val="0"/>
        <w:adjustRightInd w:val="0"/>
        <w:spacing w:after="3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lastRenderedPageBreak/>
        <w:t>1.1</w:t>
      </w:r>
      <w:r w:rsidR="0094705D">
        <w:rPr>
          <w:rFonts w:eastAsia="Times New Roman" w:cs="Times New Roman"/>
          <w:kern w:val="0"/>
          <w:sz w:val="28"/>
          <w:szCs w:val="28"/>
          <w:lang w:eastAsia="ru-RU" w:bidi="ar-SA"/>
        </w:rPr>
        <w:t>2</w:t>
      </w:r>
      <w:r w:rsidRPr="00B068C7">
        <w:rPr>
          <w:rFonts w:eastAsia="Times New Roman" w:cs="Times New Roman"/>
          <w:kern w:val="0"/>
          <w:sz w:val="28"/>
          <w:szCs w:val="28"/>
          <w:lang w:eastAsia="ru-RU" w:bidi="ar-SA"/>
        </w:rPr>
        <w:t xml:space="preserve">. Комиссия принимает решение о соответствии (несоответствии) педагогических работников занимаемой должности.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1.1</w:t>
      </w:r>
      <w:r w:rsidR="0094705D">
        <w:rPr>
          <w:rFonts w:eastAsia="Times New Roman" w:cs="Times New Roman"/>
          <w:kern w:val="0"/>
          <w:sz w:val="28"/>
          <w:szCs w:val="28"/>
          <w:lang w:eastAsia="ru-RU" w:bidi="ar-SA"/>
        </w:rPr>
        <w:t>3</w:t>
      </w:r>
      <w:r w:rsidRPr="00B068C7">
        <w:rPr>
          <w:rFonts w:eastAsia="Times New Roman" w:cs="Times New Roman"/>
          <w:kern w:val="0"/>
          <w:sz w:val="28"/>
          <w:szCs w:val="28"/>
          <w:lang w:eastAsia="ru-RU" w:bidi="ar-SA"/>
        </w:rPr>
        <w:t xml:space="preserve">. Аттестации не подлежат следующие педагогические работники: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а) проработавшие в занимаемой должности менее двух лет в данном </w:t>
      </w:r>
      <w:r w:rsidR="0094705D">
        <w:rPr>
          <w:rFonts w:eastAsia="Times New Roman" w:cs="Times New Roman"/>
          <w:kern w:val="0"/>
          <w:sz w:val="28"/>
          <w:szCs w:val="28"/>
          <w:lang w:eastAsia="ru-RU" w:bidi="ar-SA"/>
        </w:rPr>
        <w:t>о</w:t>
      </w:r>
      <w:r w:rsidRPr="00B068C7">
        <w:rPr>
          <w:rFonts w:eastAsia="Times New Roman" w:cs="Times New Roman"/>
          <w:kern w:val="0"/>
          <w:sz w:val="28"/>
          <w:szCs w:val="28"/>
          <w:lang w:eastAsia="ru-RU" w:bidi="ar-SA"/>
        </w:rPr>
        <w:t xml:space="preserve">бразовательном учреждении;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б) беременные женщины;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в) женщины, находящиеся в отпуске по беременности и родам;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г) находящиеся в отпуске по уходу за ребенком до достижения им возраста трех лет;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д) отсутствовавшие на рабочем месте более четырех месяцев подряд в связи с заболеванием.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Аттестация педагогических, предусмотренных подпунктами «в» и «г» настоящего пункта, возможна не ранее чем через два года после их выхода из указанных отпусков.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Аттестация педагогических работников, предусмотренных подпунктами «д» настоящего пункта, возможна не ранее чем через год после их выхода на работу.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b/>
          <w:bCs/>
          <w:kern w:val="0"/>
          <w:sz w:val="28"/>
          <w:szCs w:val="28"/>
          <w:lang w:eastAsia="ru-RU" w:bidi="ar-SA"/>
        </w:rPr>
        <w:t xml:space="preserve">II. Порядок проведения аттестации педагогических работников на соответствие занимаемой должности </w:t>
      </w:r>
    </w:p>
    <w:p w:rsidR="00B068C7" w:rsidRPr="00B068C7" w:rsidRDefault="00B068C7" w:rsidP="00B068C7">
      <w:pPr>
        <w:widowControl/>
        <w:suppressAutoHyphens w:val="0"/>
        <w:autoSpaceDE w:val="0"/>
        <w:autoSpaceDN w:val="0"/>
        <w:adjustRightInd w:val="0"/>
        <w:spacing w:after="34"/>
        <w:rPr>
          <w:rFonts w:ascii="Calibri" w:eastAsia="Times New Roman" w:hAnsi="Calibri" w:cs="Calibri"/>
          <w:kern w:val="0"/>
          <w:sz w:val="28"/>
          <w:szCs w:val="28"/>
          <w:lang w:eastAsia="ru-RU" w:bidi="ar-SA"/>
        </w:rPr>
      </w:pPr>
      <w:r w:rsidRPr="00B068C7">
        <w:rPr>
          <w:rFonts w:eastAsia="Times New Roman" w:cs="Times New Roman"/>
          <w:kern w:val="0"/>
          <w:sz w:val="28"/>
          <w:szCs w:val="28"/>
          <w:lang w:eastAsia="ru-RU" w:bidi="ar-SA"/>
        </w:rPr>
        <w:t>2.1. Решение о проведении аттестации педагогических работников на соответствие занимаемой должности принимается директором образовательного учреждения</w:t>
      </w:r>
      <w:r w:rsidRPr="00B068C7">
        <w:rPr>
          <w:rFonts w:ascii="Calibri" w:eastAsia="Times New Roman" w:hAnsi="Calibri" w:cs="Calibri"/>
          <w:kern w:val="0"/>
          <w:sz w:val="28"/>
          <w:szCs w:val="28"/>
          <w:lang w:eastAsia="ru-RU" w:bidi="ar-SA"/>
        </w:rPr>
        <w:t xml:space="preserve">. </w:t>
      </w:r>
    </w:p>
    <w:p w:rsidR="00B068C7" w:rsidRPr="00B068C7" w:rsidRDefault="00B068C7" w:rsidP="00B068C7">
      <w:pPr>
        <w:widowControl/>
        <w:suppressAutoHyphens w:val="0"/>
        <w:autoSpaceDE w:val="0"/>
        <w:autoSpaceDN w:val="0"/>
        <w:adjustRightInd w:val="0"/>
        <w:spacing w:after="34"/>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2.2. При издании соответствующего приказа, включающего в себя список работников, подлежащих аттестации, график проведения аттестации, директор образовательного учреждения учитывает мнение представительного органа работников в порядке, установленном трудовым законодательством Российской Федерации. </w:t>
      </w:r>
    </w:p>
    <w:p w:rsidR="00B068C7" w:rsidRPr="00B068C7" w:rsidRDefault="00B068C7" w:rsidP="00B068C7">
      <w:pPr>
        <w:widowControl/>
        <w:suppressAutoHyphens w:val="0"/>
        <w:autoSpaceDE w:val="0"/>
        <w:autoSpaceDN w:val="0"/>
        <w:adjustRightInd w:val="0"/>
        <w:spacing w:after="34"/>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2.3. Директор образовательного учреждения доводит данный приказ под роспись до сведения каждого аттестуемого не менее чем за месяц до даты проведения его аттестации по графику. </w:t>
      </w:r>
    </w:p>
    <w:p w:rsidR="00B068C7" w:rsidRPr="00B068C7" w:rsidRDefault="00B068C7" w:rsidP="0094705D">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2.4. Проведение аттестации педагогических работников осуществляется на основании представления, подписанного директором в</w:t>
      </w:r>
      <w:r w:rsidR="0094705D">
        <w:rPr>
          <w:rFonts w:eastAsia="Times New Roman" w:cs="Times New Roman"/>
          <w:kern w:val="0"/>
          <w:sz w:val="28"/>
          <w:szCs w:val="28"/>
          <w:lang w:eastAsia="ru-RU" w:bidi="ar-SA"/>
        </w:rPr>
        <w:t xml:space="preserve"> аттестационную комиссию.</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 В представлении в аттестационную комиссию должны содержаться следующие сведения о педагогическом работнике: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2.5.1. фамилия, имя, отчество;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2.5.2. наименование должности на дату проведения аттестации;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2.5.2. дата заключения по этой должности трудового договора;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2.5.3. уровень образования и квалификация по направлению подготовки;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2.5.4. информация о получении дополнительного профессионального образования по профилю педагогической деятельности;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2.5.5. результаты предыдущих аттестаций (в случае их проведения); </w:t>
      </w:r>
    </w:p>
    <w:p w:rsidR="00B068C7" w:rsidRPr="00B068C7" w:rsidRDefault="00B068C7" w:rsidP="0094705D">
      <w:pPr>
        <w:widowControl/>
        <w:suppressAutoHyphens w:val="0"/>
        <w:autoSpaceDE w:val="0"/>
        <w:autoSpaceDN w:val="0"/>
        <w:adjustRightInd w:val="0"/>
        <w:ind w:left="426"/>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2.5.6. мотивированная всесторонняя и объективная оценка профессиональных, деловых качеств, результатов профессиональной </w:t>
      </w:r>
      <w:r w:rsidRPr="00B068C7">
        <w:rPr>
          <w:rFonts w:eastAsia="Times New Roman" w:cs="Times New Roman"/>
          <w:kern w:val="0"/>
          <w:sz w:val="28"/>
          <w:szCs w:val="28"/>
          <w:lang w:eastAsia="ru-RU" w:bidi="ar-SA"/>
        </w:rPr>
        <w:lastRenderedPageBreak/>
        <w:t xml:space="preserve">деятельности работника по выполнению трудовых обязанностей, возложенных на него трудовым договором.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2.6. Аттестуемый с представлением должен быть ознакомлен под роспись не позднее, чем за месяц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2.7. При отказе аттестуемого от ознакомления с представлением составляется соответствующий акт, который подписывается директором образовательного учреждения и лицами (не менее двух), в присутствии которых составлен акт. Акт должен содержать дату, время, должности лиц, его подписавших, и причину отказа.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2.8. Аттестуемый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2.9. Педагогический работник должен лично присутствовать при его аттестации на заседании аттестационной комиссии.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2.10. 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B068C7" w:rsidRPr="00B068C7" w:rsidRDefault="00B068C7" w:rsidP="0094705D">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2.11.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соответствия педагогического работника занимаемой должности по результатам рассмотрения.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2.12. Члены аттестационной комиссии вправе задавать педагогическому работнику вопросы, связанные с выполнением должностных обязанностей.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2.13.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w:t>
      </w:r>
      <w:r w:rsidR="0094705D">
        <w:rPr>
          <w:rFonts w:eastAsia="Times New Roman" w:cs="Times New Roman"/>
          <w:kern w:val="0"/>
          <w:sz w:val="28"/>
          <w:szCs w:val="28"/>
          <w:lang w:eastAsia="ru-RU" w:bidi="ar-SA"/>
        </w:rPr>
        <w:t>нии, и хранится у работодателя.</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2.14. По результатам аттестации педагогического работника аттестационная комиссия принимает одно из следующих решений: </w:t>
      </w:r>
    </w:p>
    <w:p w:rsidR="00B068C7" w:rsidRPr="00B068C7" w:rsidRDefault="00B068C7" w:rsidP="0094705D">
      <w:pPr>
        <w:widowControl/>
        <w:suppressAutoHyphens w:val="0"/>
        <w:autoSpaceDE w:val="0"/>
        <w:autoSpaceDN w:val="0"/>
        <w:adjustRightInd w:val="0"/>
        <w:ind w:left="709"/>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lastRenderedPageBreak/>
        <w:t xml:space="preserve">2.14.1. соответствует занимаемой должности (указывается должность работника); </w:t>
      </w:r>
    </w:p>
    <w:p w:rsidR="00B068C7" w:rsidRPr="00B068C7" w:rsidRDefault="00B068C7" w:rsidP="0094705D">
      <w:pPr>
        <w:widowControl/>
        <w:suppressAutoHyphens w:val="0"/>
        <w:autoSpaceDE w:val="0"/>
        <w:autoSpaceDN w:val="0"/>
        <w:adjustRightInd w:val="0"/>
        <w:ind w:left="709"/>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2.14.2. не соответствует занимаемой должности (указывается должность работника).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2.15.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2.16. 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2.17. 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2.18. На педагогического работника, прошедшего аттестацию, не позднее семи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 Выписка из протокола и представление хранятся в личном деле педагогического работника.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2.19. Результаты аттестации педагогический работник вправе обжаловать в соответствии с законодательством Российской Федерации.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2.2</w:t>
      </w:r>
      <w:r w:rsidR="0094705D">
        <w:rPr>
          <w:rFonts w:eastAsia="Times New Roman" w:cs="Times New Roman"/>
          <w:kern w:val="0"/>
          <w:sz w:val="28"/>
          <w:szCs w:val="28"/>
          <w:lang w:eastAsia="ru-RU" w:bidi="ar-SA"/>
        </w:rPr>
        <w:t>0</w:t>
      </w:r>
      <w:r w:rsidRPr="00B068C7">
        <w:rPr>
          <w:rFonts w:eastAsia="Times New Roman" w:cs="Times New Roman"/>
          <w:kern w:val="0"/>
          <w:sz w:val="28"/>
          <w:szCs w:val="28"/>
          <w:lang w:eastAsia="ru-RU" w:bidi="ar-SA"/>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статьи 81 Трудового кодекса Российской Федерации.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третья статьи 81 Трудового кодекса Российской Федерации).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 xml:space="preserve">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 </w:t>
      </w:r>
    </w:p>
    <w:p w:rsidR="00B068C7" w:rsidRPr="00B068C7" w:rsidRDefault="00B068C7" w:rsidP="00B068C7">
      <w:pPr>
        <w:widowControl/>
        <w:suppressAutoHyphens w:val="0"/>
        <w:autoSpaceDE w:val="0"/>
        <w:autoSpaceDN w:val="0"/>
        <w:adjustRightInd w:val="0"/>
        <w:rPr>
          <w:rFonts w:eastAsia="Times New Roman" w:cs="Times New Roman"/>
          <w:kern w:val="0"/>
          <w:sz w:val="28"/>
          <w:szCs w:val="28"/>
          <w:lang w:eastAsia="ru-RU" w:bidi="ar-SA"/>
        </w:rPr>
      </w:pPr>
      <w:r w:rsidRPr="00B068C7">
        <w:rPr>
          <w:rFonts w:eastAsia="Times New Roman" w:cs="Times New Roman"/>
          <w:kern w:val="0"/>
          <w:sz w:val="28"/>
          <w:szCs w:val="28"/>
          <w:lang w:eastAsia="ru-RU" w:bidi="ar-SA"/>
        </w:rPr>
        <w:t>2.2</w:t>
      </w:r>
      <w:r w:rsidR="0094705D">
        <w:rPr>
          <w:rFonts w:eastAsia="Times New Roman" w:cs="Times New Roman"/>
          <w:kern w:val="0"/>
          <w:sz w:val="28"/>
          <w:szCs w:val="28"/>
          <w:lang w:eastAsia="ru-RU" w:bidi="ar-SA"/>
        </w:rPr>
        <w:t>1</w:t>
      </w:r>
      <w:r w:rsidRPr="00B068C7">
        <w:rPr>
          <w:rFonts w:eastAsia="Times New Roman" w:cs="Times New Roman"/>
          <w:kern w:val="0"/>
          <w:sz w:val="28"/>
          <w:szCs w:val="28"/>
          <w:lang w:eastAsia="ru-RU" w:bidi="ar-SA"/>
        </w:rPr>
        <w:t xml:space="preserve">. Аттестационная комиссия, формируемые образовательным учреждением для аттестации педагогических работников с целью подтверждения соответствия указанных работников занимаемым ими должностям, вправе </w:t>
      </w:r>
      <w:r w:rsidRPr="00B068C7">
        <w:rPr>
          <w:rFonts w:eastAsia="Times New Roman" w:cs="Times New Roman"/>
          <w:kern w:val="0"/>
          <w:sz w:val="28"/>
          <w:szCs w:val="28"/>
          <w:lang w:eastAsia="ru-RU" w:bidi="ar-SA"/>
        </w:rPr>
        <w:lastRenderedPageBreak/>
        <w:t xml:space="preserve">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w:t>
      </w:r>
    </w:p>
    <w:sectPr w:rsidR="00B068C7" w:rsidRPr="00B068C7">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6484C1"/>
    <w:multiLevelType w:val="hybridMultilevel"/>
    <w:tmpl w:val="C566E3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409DA8"/>
    <w:multiLevelType w:val="hybridMultilevel"/>
    <w:tmpl w:val="70ACD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B218B3"/>
    <w:multiLevelType w:val="hybridMultilevel"/>
    <w:tmpl w:val="CB5F6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0CB6A2"/>
    <w:multiLevelType w:val="hybridMultilevel"/>
    <w:tmpl w:val="862044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F451C"/>
    <w:multiLevelType w:val="hybridMultilevel"/>
    <w:tmpl w:val="2126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81A77"/>
    <w:multiLevelType w:val="hybridMultilevel"/>
    <w:tmpl w:val="024C9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A76E04"/>
    <w:multiLevelType w:val="hybridMultilevel"/>
    <w:tmpl w:val="DD244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E3662"/>
    <w:multiLevelType w:val="multilevel"/>
    <w:tmpl w:val="2640A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CE5F8F"/>
    <w:multiLevelType w:val="hybridMultilevel"/>
    <w:tmpl w:val="9A009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606D10"/>
    <w:multiLevelType w:val="multilevel"/>
    <w:tmpl w:val="85F2205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7E1931"/>
    <w:multiLevelType w:val="hybridMultilevel"/>
    <w:tmpl w:val="2B524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3D129F"/>
    <w:multiLevelType w:val="multilevel"/>
    <w:tmpl w:val="2640A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A2028"/>
    <w:multiLevelType w:val="hybridMultilevel"/>
    <w:tmpl w:val="8D1CE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8C28DD"/>
    <w:multiLevelType w:val="hybridMultilevel"/>
    <w:tmpl w:val="CFC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5124D"/>
    <w:multiLevelType w:val="hybridMultilevel"/>
    <w:tmpl w:val="A3E63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42F24"/>
    <w:multiLevelType w:val="hybridMultilevel"/>
    <w:tmpl w:val="4F305B8E"/>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1C1235D"/>
    <w:multiLevelType w:val="hybridMultilevel"/>
    <w:tmpl w:val="E27E84BE"/>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2EC71C6"/>
    <w:multiLevelType w:val="multilevel"/>
    <w:tmpl w:val="2640AC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A53B9E"/>
    <w:multiLevelType w:val="multilevel"/>
    <w:tmpl w:val="2640A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FD0A6B"/>
    <w:multiLevelType w:val="hybridMultilevel"/>
    <w:tmpl w:val="A58A3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A26CB"/>
    <w:multiLevelType w:val="hybridMultilevel"/>
    <w:tmpl w:val="07548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41785"/>
    <w:multiLevelType w:val="hybridMultilevel"/>
    <w:tmpl w:val="F4B8E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B7F35"/>
    <w:multiLevelType w:val="hybridMultilevel"/>
    <w:tmpl w:val="C15EE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855398"/>
    <w:multiLevelType w:val="multilevel"/>
    <w:tmpl w:val="804078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3E5287"/>
    <w:multiLevelType w:val="multilevel"/>
    <w:tmpl w:val="2640A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6C35F5"/>
    <w:multiLevelType w:val="hybridMultilevel"/>
    <w:tmpl w:val="2A4FE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BF2985"/>
    <w:multiLevelType w:val="multilevel"/>
    <w:tmpl w:val="2640AC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C55939"/>
    <w:multiLevelType w:val="hybridMultilevel"/>
    <w:tmpl w:val="36E42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70ABF"/>
    <w:multiLevelType w:val="hybridMultilevel"/>
    <w:tmpl w:val="E01DCA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811A9C"/>
    <w:multiLevelType w:val="multilevel"/>
    <w:tmpl w:val="2B560DC6"/>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30">
    <w:nsid w:val="54836BFA"/>
    <w:multiLevelType w:val="hybridMultilevel"/>
    <w:tmpl w:val="2A6AA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D3ADD"/>
    <w:multiLevelType w:val="hybridMultilevel"/>
    <w:tmpl w:val="F6246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56210"/>
    <w:multiLevelType w:val="multilevel"/>
    <w:tmpl w:val="88F251FA"/>
    <w:lvl w:ilvl="0">
      <w:start w:val="1"/>
      <w:numFmt w:val="decimal"/>
      <w:lvlText w:val="%1."/>
      <w:lvlJc w:val="left"/>
      <w:pPr>
        <w:tabs>
          <w:tab w:val="num" w:pos="672"/>
        </w:tabs>
        <w:ind w:left="672" w:hanging="672"/>
      </w:pPr>
      <w:rPr>
        <w:rFonts w:cs="Times New Roman"/>
      </w:rPr>
    </w:lvl>
    <w:lvl w:ilvl="1">
      <w:start w:val="1"/>
      <w:numFmt w:val="decimal"/>
      <w:lvlText w:val="%1.%2."/>
      <w:lvlJc w:val="left"/>
      <w:pPr>
        <w:tabs>
          <w:tab w:val="num" w:pos="672"/>
        </w:tabs>
        <w:ind w:left="672" w:hanging="672"/>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68541973"/>
    <w:multiLevelType w:val="hybridMultilevel"/>
    <w:tmpl w:val="2A544C52"/>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9471139"/>
    <w:multiLevelType w:val="hybridMultilevel"/>
    <w:tmpl w:val="F1D89EDA"/>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DA827CB"/>
    <w:multiLevelType w:val="multilevel"/>
    <w:tmpl w:val="2640A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025398"/>
    <w:multiLevelType w:val="hybridMultilevel"/>
    <w:tmpl w:val="712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5E5A94"/>
    <w:multiLevelType w:val="hybridMultilevel"/>
    <w:tmpl w:val="7898E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6C1E4D"/>
    <w:multiLevelType w:val="hybridMultilevel"/>
    <w:tmpl w:val="3CA4C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E03E02"/>
    <w:multiLevelType w:val="hybridMultilevel"/>
    <w:tmpl w:val="3F564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0C39BA"/>
    <w:multiLevelType w:val="multilevel"/>
    <w:tmpl w:val="A63CDAE4"/>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3"/>
  </w:num>
  <w:num w:numId="2">
    <w:abstractNumId w:val="11"/>
  </w:num>
  <w:num w:numId="3">
    <w:abstractNumId w:val="36"/>
  </w:num>
  <w:num w:numId="4">
    <w:abstractNumId w:val="4"/>
  </w:num>
  <w:num w:numId="5">
    <w:abstractNumId w:val="37"/>
  </w:num>
  <w:num w:numId="6">
    <w:abstractNumId w:val="7"/>
  </w:num>
  <w:num w:numId="7">
    <w:abstractNumId w:val="20"/>
  </w:num>
  <w:num w:numId="8">
    <w:abstractNumId w:val="24"/>
  </w:num>
  <w:num w:numId="9">
    <w:abstractNumId w:val="13"/>
  </w:num>
  <w:num w:numId="10">
    <w:abstractNumId w:val="30"/>
  </w:num>
  <w:num w:numId="11">
    <w:abstractNumId w:val="21"/>
  </w:num>
  <w:num w:numId="12">
    <w:abstractNumId w:val="17"/>
  </w:num>
  <w:num w:numId="13">
    <w:abstractNumId w:val="14"/>
  </w:num>
  <w:num w:numId="14">
    <w:abstractNumId w:val="5"/>
  </w:num>
  <w:num w:numId="15">
    <w:abstractNumId w:val="39"/>
  </w:num>
  <w:num w:numId="16">
    <w:abstractNumId w:val="6"/>
  </w:num>
  <w:num w:numId="17">
    <w:abstractNumId w:val="35"/>
  </w:num>
  <w:num w:numId="18">
    <w:abstractNumId w:val="10"/>
  </w:num>
  <w:num w:numId="19">
    <w:abstractNumId w:val="9"/>
  </w:num>
  <w:num w:numId="20">
    <w:abstractNumId w:val="18"/>
  </w:num>
  <w:num w:numId="21">
    <w:abstractNumId w:val="27"/>
  </w:num>
  <w:num w:numId="22">
    <w:abstractNumId w:val="31"/>
  </w:num>
  <w:num w:numId="23">
    <w:abstractNumId w:val="12"/>
  </w:num>
  <w:num w:numId="24">
    <w:abstractNumId w:val="38"/>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2"/>
  </w:num>
  <w:num w:numId="34">
    <w:abstractNumId w:val="8"/>
  </w:num>
  <w:num w:numId="35">
    <w:abstractNumId w:val="19"/>
  </w:num>
  <w:num w:numId="36">
    <w:abstractNumId w:val="29"/>
  </w:num>
  <w:num w:numId="37">
    <w:abstractNumId w:val="28"/>
  </w:num>
  <w:num w:numId="38">
    <w:abstractNumId w:val="2"/>
  </w:num>
  <w:num w:numId="39">
    <w:abstractNumId w:val="25"/>
  </w:num>
  <w:num w:numId="40">
    <w:abstractNumId w:val="3"/>
  </w:num>
  <w:num w:numId="41">
    <w:abstractNumId w:val="0"/>
  </w:num>
  <w:num w:numId="42">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F4B22"/>
    <w:rsid w:val="000268A2"/>
    <w:rsid w:val="000F4B22"/>
    <w:rsid w:val="001125C1"/>
    <w:rsid w:val="0014519F"/>
    <w:rsid w:val="00236A31"/>
    <w:rsid w:val="00377B6F"/>
    <w:rsid w:val="003D4576"/>
    <w:rsid w:val="00452BE6"/>
    <w:rsid w:val="004A50AD"/>
    <w:rsid w:val="004F68C4"/>
    <w:rsid w:val="005979FF"/>
    <w:rsid w:val="005F0F3E"/>
    <w:rsid w:val="006133C2"/>
    <w:rsid w:val="00723530"/>
    <w:rsid w:val="00736A33"/>
    <w:rsid w:val="008913DD"/>
    <w:rsid w:val="008B0D4F"/>
    <w:rsid w:val="00932B05"/>
    <w:rsid w:val="00946020"/>
    <w:rsid w:val="0094705D"/>
    <w:rsid w:val="00B068C7"/>
    <w:rsid w:val="00B545A7"/>
    <w:rsid w:val="00C3398C"/>
    <w:rsid w:val="00C90D49"/>
    <w:rsid w:val="00D416B3"/>
    <w:rsid w:val="00D46761"/>
    <w:rsid w:val="00F84945"/>
    <w:rsid w:val="00FA3A11"/>
    <w:rsid w:val="00FE7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Default">
    <w:name w:val="Default"/>
    <w:pPr>
      <w:widowControl w:val="0"/>
      <w:suppressAutoHyphens/>
    </w:pPr>
    <w:rPr>
      <w:rFonts w:eastAsia="SimSun" w:cs="Mangal"/>
      <w:kern w:val="1"/>
      <w:sz w:val="24"/>
      <w:szCs w:val="24"/>
      <w:lang w:eastAsia="zh-CN" w:bidi="hi-IN"/>
    </w:rPr>
  </w:style>
  <w:style w:type="paragraph" w:styleId="a9">
    <w:name w:val="Balloon Text"/>
    <w:basedOn w:val="a"/>
    <w:link w:val="aa"/>
    <w:uiPriority w:val="99"/>
    <w:semiHidden/>
    <w:unhideWhenUsed/>
    <w:rsid w:val="00C3398C"/>
    <w:rPr>
      <w:rFonts w:ascii="Tahoma" w:hAnsi="Tahoma"/>
      <w:sz w:val="16"/>
      <w:szCs w:val="14"/>
      <w:lang/>
    </w:rPr>
  </w:style>
  <w:style w:type="character" w:customStyle="1" w:styleId="aa">
    <w:name w:val="Текст выноски Знак"/>
    <w:link w:val="a9"/>
    <w:uiPriority w:val="99"/>
    <w:semiHidden/>
    <w:rsid w:val="00C3398C"/>
    <w:rPr>
      <w:rFonts w:ascii="Tahoma" w:eastAsia="SimSun" w:hAnsi="Tahoma" w:cs="Mangal"/>
      <w:kern w:val="1"/>
      <w:sz w:val="16"/>
      <w:szCs w:val="14"/>
      <w:lang w:eastAsia="zh-CN" w:bidi="hi-IN"/>
    </w:rPr>
  </w:style>
  <w:style w:type="paragraph" w:styleId="2">
    <w:name w:val="Body Text 2"/>
    <w:basedOn w:val="a"/>
    <w:link w:val="20"/>
    <w:uiPriority w:val="99"/>
    <w:semiHidden/>
    <w:unhideWhenUsed/>
    <w:rsid w:val="00236A31"/>
    <w:pPr>
      <w:spacing w:after="120" w:line="480" w:lineRule="auto"/>
    </w:pPr>
    <w:rPr>
      <w:szCs w:val="21"/>
    </w:rPr>
  </w:style>
  <w:style w:type="character" w:customStyle="1" w:styleId="20">
    <w:name w:val="Основной текст 2 Знак"/>
    <w:basedOn w:val="a0"/>
    <w:link w:val="2"/>
    <w:uiPriority w:val="99"/>
    <w:semiHidden/>
    <w:rsid w:val="00236A31"/>
    <w:rPr>
      <w:rFonts w:eastAsia="SimSu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User</cp:lastModifiedBy>
  <cp:revision>2</cp:revision>
  <cp:lastPrinted>2015-11-12T10:00:00Z</cp:lastPrinted>
  <dcterms:created xsi:type="dcterms:W3CDTF">2015-11-13T08:35:00Z</dcterms:created>
  <dcterms:modified xsi:type="dcterms:W3CDTF">2015-11-13T08:35:00Z</dcterms:modified>
</cp:coreProperties>
</file>